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60"/>
        <w:ind w:left="1985" w:hanging="1985"/>
        <w:rPr>
          <w:rFonts w:ascii="Arial" w:hAnsi="Arial" w:cs="Arial"/>
          <w:b/>
          <w:i/>
          <w:sz w:val="21"/>
          <w:szCs w:val="21"/>
          <w:lang w:eastAsia="zh-CN"/>
        </w:rPr>
      </w:pPr>
      <w:r>
        <w:rPr>
          <w:rFonts w:ascii="Arial" w:hAnsi="Arial" w:cs="Arial"/>
          <w:b/>
          <w:sz w:val="21"/>
          <w:szCs w:val="21"/>
        </w:rPr>
        <w:t>3GPP TSG-</w:t>
      </w:r>
      <w:r>
        <w:rPr>
          <w:rFonts w:hint="eastAsia" w:ascii="Arial" w:hAnsi="Arial" w:cs="Arial"/>
          <w:b/>
          <w:sz w:val="21"/>
          <w:szCs w:val="21"/>
        </w:rPr>
        <w:t xml:space="preserve">RAN </w:t>
      </w:r>
      <w:r>
        <w:rPr>
          <w:rFonts w:ascii="Arial" w:hAnsi="Arial" w:cs="Arial"/>
          <w:b/>
          <w:sz w:val="21"/>
          <w:szCs w:val="21"/>
        </w:rPr>
        <w:t>WG</w:t>
      </w:r>
      <w:r>
        <w:rPr>
          <w:rFonts w:hint="eastAsia" w:ascii="Arial" w:hAnsi="Arial" w:cs="Arial"/>
          <w:b/>
          <w:sz w:val="21"/>
          <w:szCs w:val="21"/>
        </w:rPr>
        <w:t>2</w:t>
      </w:r>
      <w:r>
        <w:rPr>
          <w:rFonts w:ascii="Arial" w:hAnsi="Arial" w:cs="Arial"/>
          <w:b/>
          <w:sz w:val="21"/>
          <w:szCs w:val="21"/>
        </w:rPr>
        <w:t xml:space="preserve"> Meeting #11</w:t>
      </w:r>
      <w:r>
        <w:rPr>
          <w:rFonts w:hint="eastAsia" w:ascii="Arial" w:hAnsi="Arial" w:cs="Arial"/>
          <w:b/>
          <w:sz w:val="21"/>
          <w:szCs w:val="21"/>
          <w:lang w:val="en-US" w:eastAsia="zh-CN"/>
        </w:rPr>
        <w:t>3-e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hint="eastAsia" w:ascii="Arial" w:hAnsi="Arial" w:cs="Arial"/>
          <w:b/>
          <w:sz w:val="21"/>
          <w:szCs w:val="21"/>
        </w:rPr>
        <w:t xml:space="preserve">                                                      </w:t>
      </w:r>
      <w:r>
        <w:rPr>
          <w:rFonts w:hint="eastAsia" w:ascii="Arial" w:hAnsi="Arial" w:cs="Arial"/>
          <w:b/>
          <w:sz w:val="21"/>
          <w:szCs w:val="21"/>
          <w:lang w:val="en-US" w:eastAsia="zh-CN"/>
        </w:rPr>
        <w:t xml:space="preserve">                 </w:t>
      </w:r>
      <w:r>
        <w:rPr>
          <w:rFonts w:hint="eastAsia"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i/>
          <w:sz w:val="21"/>
          <w:szCs w:val="21"/>
        </w:rPr>
        <w:t>R2-2100325</w:t>
      </w:r>
    </w:p>
    <w:p>
      <w:pPr>
        <w:spacing w:after="60"/>
        <w:ind w:left="1985" w:hanging="1985"/>
        <w:rPr>
          <w:rFonts w:ascii="Arial" w:hAnsi="Arial" w:cs="Arial"/>
          <w:b/>
          <w:sz w:val="21"/>
          <w:szCs w:val="21"/>
          <w:lang w:val="en-US"/>
        </w:rPr>
      </w:pPr>
      <w:r>
        <w:rPr>
          <w:rFonts w:hint="eastAsia" w:ascii="Arial" w:hAnsi="Arial" w:cs="Arial"/>
          <w:b/>
          <w:sz w:val="21"/>
          <w:szCs w:val="21"/>
          <w:lang w:val="en-US" w:eastAsia="zh-CN"/>
        </w:rPr>
        <w:t>Online, January 25</w:t>
      </w:r>
      <w:r>
        <w:rPr>
          <w:rFonts w:hint="eastAsia" w:ascii="Arial" w:hAnsi="Arial" w:cs="Arial"/>
          <w:b/>
          <w:sz w:val="21"/>
          <w:szCs w:val="21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1"/>
          <w:szCs w:val="21"/>
          <w:lang w:val="en-US" w:eastAsia="zh-CN"/>
        </w:rPr>
        <w:t xml:space="preserve"> </w:t>
      </w:r>
      <w:r>
        <w:rPr>
          <w:rFonts w:ascii="Arial" w:hAnsi="Arial" w:cs="Arial"/>
          <w:b/>
          <w:sz w:val="21"/>
          <w:szCs w:val="21"/>
          <w:lang w:val="en-US" w:eastAsia="ja-JP"/>
        </w:rPr>
        <w:t>–</w:t>
      </w:r>
      <w:r>
        <w:rPr>
          <w:rFonts w:hint="eastAsia" w:ascii="Arial" w:hAnsi="Arial" w:cs="Arial"/>
          <w:b/>
          <w:sz w:val="21"/>
          <w:szCs w:val="21"/>
          <w:lang w:val="en-US" w:eastAsia="zh-CN"/>
        </w:rPr>
        <w:t xml:space="preserve"> February</w:t>
      </w:r>
      <w:r>
        <w:rPr>
          <w:rFonts w:ascii="Arial" w:hAnsi="Arial" w:cs="Arial"/>
          <w:b/>
          <w:sz w:val="21"/>
          <w:szCs w:val="21"/>
          <w:lang w:val="en-US" w:eastAsia="ja-JP"/>
        </w:rPr>
        <w:t xml:space="preserve"> </w:t>
      </w:r>
      <w:r>
        <w:rPr>
          <w:rFonts w:hint="eastAsia" w:ascii="Arial" w:hAnsi="Arial" w:cs="Arial"/>
          <w:b/>
          <w:sz w:val="21"/>
          <w:szCs w:val="21"/>
          <w:lang w:val="en-US" w:eastAsia="zh-CN"/>
        </w:rPr>
        <w:t>5</w:t>
      </w:r>
      <w:r>
        <w:rPr>
          <w:rFonts w:hint="eastAsia" w:ascii="Arial" w:hAnsi="Arial" w:cs="Arial"/>
          <w:b/>
          <w:sz w:val="21"/>
          <w:szCs w:val="21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1"/>
          <w:szCs w:val="21"/>
          <w:lang w:val="en-US" w:eastAsia="zh-CN"/>
        </w:rPr>
        <w:t>, 2021</w: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highlight w:val="yellow"/>
          <w:lang w:eastAsia="zh-CN"/>
        </w:rPr>
        <w:t>[</w:t>
      </w:r>
      <w:r>
        <w:rPr>
          <w:rFonts w:hint="eastAsia" w:ascii="Arial" w:hAnsi="Arial" w:cs="Arial"/>
          <w:bCs/>
          <w:highlight w:val="yellow"/>
          <w:lang w:eastAsia="zh-CN"/>
        </w:rPr>
        <w:t>draft</w:t>
      </w:r>
      <w:r>
        <w:rPr>
          <w:rFonts w:ascii="Arial" w:hAnsi="Arial" w:cs="Arial"/>
          <w:bCs/>
          <w:highlight w:val="yellow"/>
          <w:lang w:eastAsia="zh-CN"/>
        </w:rPr>
        <w:t>]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eastAsia="zh-CN"/>
        </w:rPr>
        <w:t xml:space="preserve">LS </w:t>
      </w:r>
      <w:r>
        <w:rPr>
          <w:rFonts w:ascii="Arial" w:hAnsi="Arial" w:cs="Arial"/>
          <w:bCs/>
          <w:lang w:eastAsia="zh-CN"/>
        </w:rPr>
        <w:t xml:space="preserve">to RAN4 </w:t>
      </w:r>
      <w:r>
        <w:rPr>
          <w:rFonts w:hint="eastAsia" w:ascii="Arial" w:hAnsi="Arial" w:cs="Arial"/>
          <w:bCs/>
          <w:lang w:eastAsia="zh-CN"/>
        </w:rPr>
        <w:t>on</w:t>
      </w:r>
      <w:r>
        <w:rPr>
          <w:rFonts w:hint="eastAsia" w:ascii="Arial" w:hAnsi="Arial" w:cs="Arial"/>
          <w:bCs/>
          <w:lang w:val="en-US" w:eastAsia="zh-CN"/>
        </w:rPr>
        <w:t xml:space="preserve"> </w:t>
      </w:r>
      <w:r>
        <w:rPr>
          <w:rFonts w:hint="eastAsia" w:ascii="Arial" w:hAnsi="Arial" w:cs="Arial"/>
          <w:bCs/>
          <w:lang w:eastAsia="zh-CN"/>
        </w:rPr>
        <w:t xml:space="preserve">measurement in connected mode for </w:t>
      </w:r>
      <w:r>
        <w:rPr>
          <w:rFonts w:hint="eastAsia" w:ascii="Arial" w:hAnsi="Arial" w:cs="Arial"/>
          <w:bCs/>
          <w:lang w:val="en-US" w:eastAsia="zh-CN"/>
        </w:rPr>
        <w:t>NB-IoT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Rel-1</w:t>
      </w:r>
      <w:r>
        <w:rPr>
          <w:rFonts w:hint="eastAsia" w:ascii="Arial" w:hAnsi="Arial" w:cs="Arial"/>
          <w:bCs/>
          <w:lang w:val="en-US" w:eastAsia="zh-CN"/>
        </w:rPr>
        <w:t>7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NB_IOTenh4_LTE_eMTC6-Core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ZTE Corporation </w:t>
      </w:r>
      <w:r>
        <w:rPr>
          <w:rFonts w:ascii="Arial" w:hAnsi="Arial" w:cs="Arial"/>
          <w:bCs/>
          <w:highlight w:val="yellow"/>
        </w:rPr>
        <w:t xml:space="preserve">[to be </w:t>
      </w:r>
      <w:r>
        <w:rPr>
          <w:rFonts w:ascii="Arial" w:hAnsi="Arial" w:cs="Arial"/>
          <w:bCs/>
          <w:highlight w:val="yellow"/>
          <w:lang w:eastAsia="zh-CN"/>
        </w:rPr>
        <w:t>RAN</w:t>
      </w:r>
      <w:r>
        <w:rPr>
          <w:rFonts w:hint="eastAsia" w:ascii="Arial" w:hAnsi="Arial" w:cs="Arial"/>
          <w:bCs/>
          <w:highlight w:val="yellow"/>
          <w:lang w:val="en-US" w:eastAsia="zh-CN"/>
        </w:rPr>
        <w:t>2</w:t>
      </w:r>
      <w:r>
        <w:rPr>
          <w:rFonts w:ascii="Arial" w:hAnsi="Arial" w:cs="Arial"/>
          <w:bCs/>
          <w:highlight w:val="yellow"/>
          <w:lang w:val="en-US" w:eastAsia="zh-CN"/>
        </w:rPr>
        <w:t>]</w:t>
      </w:r>
    </w:p>
    <w:p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</w:t>
      </w:r>
      <w:r>
        <w:rPr>
          <w:rFonts w:hint="eastAsia" w:ascii="Arial" w:hAnsi="Arial" w:cs="Arial"/>
          <w:bCs/>
          <w:lang w:val="en-US" w:eastAsia="zh-CN"/>
        </w:rPr>
        <w:t>4</w:t>
      </w:r>
    </w:p>
    <w:p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2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>
        <w:rPr>
          <w:rFonts w:hint="eastAsia" w:cs="Arial"/>
          <w:b w:val="0"/>
          <w:bCs/>
          <w:lang w:val="en-US" w:eastAsia="zh-CN"/>
        </w:rPr>
        <w:t>Ting</w:t>
      </w:r>
      <w:r>
        <w:rPr>
          <w:rFonts w:cs="Arial"/>
          <w:b w:val="0"/>
          <w:bCs/>
          <w:lang w:val="en-US" w:eastAsia="zh-CN"/>
        </w:rPr>
        <w:t xml:space="preserve"> </w:t>
      </w:r>
      <w:r>
        <w:rPr>
          <w:rFonts w:hint="eastAsia" w:cs="Arial"/>
          <w:b w:val="0"/>
          <w:bCs/>
          <w:lang w:val="en-US" w:eastAsia="zh-CN"/>
        </w:rPr>
        <w:t>Lu</w:t>
      </w:r>
    </w:p>
    <w:p>
      <w:pPr>
        <w:pStyle w:val="3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</w:r>
      <w:r>
        <w:rPr>
          <w:rFonts w:hint="eastAsia" w:cs="Arial"/>
          <w:b w:val="0"/>
          <w:bCs/>
          <w:lang w:val="en-US" w:eastAsia="zh-CN"/>
        </w:rPr>
        <w:t>lu.ting</w:t>
      </w:r>
      <w:r>
        <w:rPr>
          <w:rFonts w:cs="Arial"/>
          <w:b w:val="0"/>
          <w:bCs/>
        </w:rPr>
        <w:t>@zte.com.cn</w:t>
      </w:r>
    </w:p>
    <w:p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5"/>
          <w:rFonts w:ascii="Arial" w:hAnsi="Arial" w:cs="Arial"/>
          <w:b/>
        </w:rPr>
        <w:t>mailto:3GPPLiaison@etsi.org</w:t>
      </w:r>
      <w:r>
        <w:rPr>
          <w:rStyle w:val="15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27"/>
        <w:spacing w:before="120" w:beforeLines="50" w:afterLines="5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For Rel-17 WID of additional enhancements for NB-IoT, RAN2 has some discussion on introducing measurement in connected mode for NB-IoT. </w:t>
      </w:r>
    </w:p>
    <w:p>
      <w:pPr>
        <w:pStyle w:val="27"/>
        <w:spacing w:before="120" w:beforeLines="50" w:afterLines="5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RAN2 has made some progress on the following issues: </w:t>
      </w:r>
    </w:p>
    <w:p>
      <w:pPr>
        <w:spacing w:after="120"/>
        <w:ind w:left="13" w:hanging="1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Issue#</w:t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For NB-IoT measurement in connected mode, RAN2 assumes a neighbour cell is known if it has been measured by the UE and not a long time has passed or the channel quality hardly changes.</w:t>
      </w:r>
      <w:r>
        <w:rPr>
          <w:rFonts w:hint="eastAsia" w:ascii="Arial" w:hAnsi="Arial" w:cs="Arial"/>
        </w:rPr>
        <w:t xml:space="preserve"> </w:t>
      </w:r>
    </w:p>
    <w:p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Issue#</w:t>
      </w:r>
      <w:r>
        <w:rPr>
          <w:rFonts w:hint="eastAsia"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For NB-IoT measurement in connected mode, RAN2 has the following assumption on definitions for connected mode measurements:</w:t>
      </w:r>
    </w:p>
    <w:p>
      <w:pPr>
        <w:numPr>
          <w:ilvl w:val="0"/>
          <w:numId w:val="2"/>
        </w:numPr>
        <w:spacing w:before="100" w:after="100"/>
        <w:jc w:val="both"/>
        <w:rPr>
          <w:rFonts w:hint="default"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T</w:t>
      </w:r>
      <w:r>
        <w:rPr>
          <w:rFonts w:hint="default" w:ascii="Arial" w:hAnsi="Arial" w:cs="Arial"/>
          <w:b w:val="0"/>
          <w:bCs w:val="0"/>
          <w:sz w:val="20"/>
          <w:szCs w:val="20"/>
        </w:rPr>
        <w:t xml:space="preserve">he </w:t>
      </w:r>
      <w:r>
        <w:rPr>
          <w:rFonts w:ascii="Arial" w:hAnsi="Arial" w:cs="Arial"/>
          <w:b w:val="0"/>
          <w:bCs w:val="0"/>
          <w:sz w:val="20"/>
          <w:szCs w:val="20"/>
        </w:rPr>
        <w:t>neighbor cell measurements performed by the UE</w:t>
      </w:r>
      <w:r>
        <w:rPr>
          <w:rFonts w:hint="default" w:ascii="Arial" w:hAnsi="Arial" w:cs="Arial"/>
          <w:b w:val="0"/>
          <w:bCs w:val="0"/>
          <w:sz w:val="20"/>
          <w:szCs w:val="20"/>
        </w:rPr>
        <w:t xml:space="preserve"> in connected mode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are intra-frequency measurements when anchor carrier of the current cell and anchor carrier of the neighbor cell </w:t>
      </w:r>
      <w:r>
        <w:rPr>
          <w:rFonts w:hint="default" w:ascii="Arial" w:hAnsi="Arial" w:cs="Arial"/>
          <w:b w:val="0"/>
          <w:bCs w:val="0"/>
          <w:sz w:val="20"/>
          <w:szCs w:val="20"/>
          <w:lang w:val="en-US" w:eastAsia="zh-CN"/>
        </w:rPr>
        <w:t>operate</w:t>
      </w:r>
      <w:r>
        <w:rPr>
          <w:rFonts w:hint="eastAsia" w:ascii="Arial" w:hAnsi="Arial" w:cs="Arial"/>
          <w:b w:val="0"/>
          <w:bCs w:val="0"/>
          <w:sz w:val="20"/>
          <w:szCs w:val="20"/>
          <w:lang w:val="en-US" w:eastAsia="zh-CN"/>
        </w:rPr>
        <w:t>s</w:t>
      </w:r>
      <w:r>
        <w:rPr>
          <w:rFonts w:hint="default" w:ascii="Arial" w:hAnsi="Arial" w:cs="Arial"/>
          <w:b w:val="0"/>
          <w:bCs w:val="0"/>
          <w:sz w:val="20"/>
          <w:szCs w:val="20"/>
          <w:lang w:val="en-US" w:eastAsia="zh-CN"/>
        </w:rPr>
        <w:t xml:space="preserve"> </w:t>
      </w:r>
      <w:r>
        <w:rPr>
          <w:rFonts w:ascii="Arial" w:hAnsi="Arial" w:cs="Arial"/>
          <w:b w:val="0"/>
          <w:bCs w:val="0"/>
          <w:sz w:val="20"/>
          <w:szCs w:val="20"/>
        </w:rPr>
        <w:t>on the same carrier frequency.</w:t>
      </w:r>
      <w:r>
        <w:rPr>
          <w:rFonts w:hint="default" w:ascii="Arial" w:hAnsi="Arial" w:cs="Arial"/>
          <w:b w:val="0"/>
          <w:bCs w:val="0"/>
          <w:sz w:val="20"/>
          <w:szCs w:val="20"/>
        </w:rPr>
        <w:t xml:space="preserve"> </w:t>
      </w:r>
    </w:p>
    <w:p>
      <w:pPr>
        <w:numPr>
          <w:ilvl w:val="0"/>
          <w:numId w:val="2"/>
        </w:numPr>
        <w:spacing w:before="100" w:after="100"/>
        <w:jc w:val="both"/>
        <w:rPr>
          <w:rFonts w:hint="default" w:ascii="Arial" w:hAnsi="Arial" w:eastAsia="宋体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>T</w:t>
      </w:r>
      <w:r>
        <w:rPr>
          <w:rFonts w:hint="default" w:ascii="Arial" w:hAnsi="Arial" w:cs="Arial"/>
          <w:b w:val="0"/>
          <w:bCs w:val="0"/>
          <w:sz w:val="20"/>
          <w:szCs w:val="20"/>
        </w:rPr>
        <w:t xml:space="preserve">he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neighbor cell measurements performed by the UE </w:t>
      </w:r>
      <w:r>
        <w:rPr>
          <w:rFonts w:hint="default" w:ascii="Arial" w:hAnsi="Arial" w:cs="Arial"/>
          <w:b w:val="0"/>
          <w:bCs w:val="0"/>
          <w:sz w:val="20"/>
          <w:szCs w:val="20"/>
        </w:rPr>
        <w:t xml:space="preserve">in connected mode 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are inter-frequency measurements when anchor carrier of the neighbor cell </w:t>
      </w:r>
      <w:r>
        <w:rPr>
          <w:rFonts w:hint="default" w:ascii="Arial" w:hAnsi="Arial" w:cs="Arial"/>
          <w:b w:val="0"/>
          <w:bCs w:val="0"/>
          <w:sz w:val="20"/>
          <w:szCs w:val="20"/>
          <w:lang w:val="en-US" w:eastAsia="zh-CN"/>
        </w:rPr>
        <w:t>operates</w:t>
      </w:r>
      <w:r>
        <w:rPr>
          <w:rFonts w:ascii="Arial" w:hAnsi="Arial" w:cs="Arial"/>
          <w:b w:val="0"/>
          <w:bCs w:val="0"/>
          <w:sz w:val="20"/>
          <w:szCs w:val="20"/>
        </w:rPr>
        <w:t xml:space="preserve"> on a different carrier</w:t>
      </w:r>
      <w:r>
        <w:rPr>
          <w:rFonts w:ascii="Arial" w:hAnsi="Arial" w:eastAsia="宋体" w:cs="Arial"/>
          <w:b w:val="0"/>
          <w:bCs w:val="0"/>
          <w:sz w:val="20"/>
          <w:szCs w:val="20"/>
        </w:rPr>
        <w:t xml:space="preserve"> frequency</w:t>
      </w:r>
      <w:r>
        <w:rPr>
          <w:rFonts w:ascii="Arial" w:hAnsi="Arial" w:eastAsia="宋体" w:cs="Arial"/>
          <w:b w:val="0"/>
          <w:bCs w:val="0"/>
          <w:i w:val="0"/>
          <w:iCs w:val="0"/>
          <w:sz w:val="20"/>
          <w:szCs w:val="20"/>
        </w:rPr>
        <w:t xml:space="preserve">, compared to </w:t>
      </w:r>
      <w:r>
        <w:rPr>
          <w:rFonts w:ascii="Arial" w:hAnsi="Arial" w:eastAsia="宋体" w:cs="Arial"/>
          <w:b w:val="0"/>
          <w:bCs w:val="0"/>
          <w:sz w:val="20"/>
          <w:szCs w:val="20"/>
        </w:rPr>
        <w:t>anchor carrier of the current cell.</w:t>
      </w:r>
      <w:r>
        <w:rPr>
          <w:rFonts w:hint="default" w:ascii="Arial" w:hAnsi="Arial" w:eastAsia="宋体" w:cs="Arial"/>
          <w:b w:val="0"/>
          <w:bCs w:val="0"/>
          <w:sz w:val="20"/>
          <w:szCs w:val="20"/>
        </w:rPr>
        <w:t xml:space="preserve"> </w:t>
      </w:r>
    </w:p>
    <w:p>
      <w:pPr>
        <w:spacing w:after="120"/>
        <w:ind w:left="13" w:hanging="1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Issue#</w:t>
      </w:r>
      <w:r>
        <w:rPr>
          <w:rFonts w:hint="eastAsia" w:ascii="Arial" w:hAnsi="Arial" w:cs="Arial"/>
          <w:b/>
        </w:rPr>
        <w:t>3</w:t>
      </w:r>
      <w:r>
        <w:rPr>
          <w:rFonts w:ascii="Arial" w:hAnsi="Arial" w:cs="Arial"/>
          <w:b/>
        </w:rPr>
        <w:t>: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</w:rPr>
        <w:t>For NB-IoT UE in connected mode,</w:t>
      </w:r>
      <w:r>
        <w:rPr>
          <w:rFonts w:hint="eastAsia" w:ascii="Arial" w:hAnsi="Arial" w:cs="Arial"/>
        </w:rPr>
        <w:t xml:space="preserve"> </w:t>
      </w:r>
      <w:r>
        <w:rPr>
          <w:rFonts w:ascii="Arial" w:hAnsi="Arial" w:cs="Arial"/>
        </w:rPr>
        <w:t xml:space="preserve">RAN2 assume UE can perform one shot measurement, e.g., once the measurement </w:t>
      </w:r>
      <w:r>
        <w:rPr>
          <w:rFonts w:hint="eastAsia" w:ascii="Arial" w:hAnsi="Arial" w:cs="Arial"/>
        </w:rPr>
        <w:t>is triggered</w:t>
      </w:r>
      <w:r>
        <w:rPr>
          <w:rFonts w:ascii="Arial" w:hAnsi="Arial" w:cs="Arial"/>
        </w:rPr>
        <w:t>, the</w:t>
      </w:r>
      <w:r>
        <w:rPr>
          <w:rFonts w:hint="eastAsia" w:ascii="Arial" w:hAnsi="Arial" w:cs="Arial"/>
        </w:rPr>
        <w:t xml:space="preserve"> </w:t>
      </w:r>
      <w:r>
        <w:rPr>
          <w:rFonts w:ascii="Arial" w:hAnsi="Arial" w:cs="Arial"/>
        </w:rPr>
        <w:t xml:space="preserve">measurement is </w:t>
      </w:r>
      <w:r>
        <w:rPr>
          <w:rFonts w:hint="eastAsia" w:ascii="Arial" w:hAnsi="Arial" w:cs="Arial"/>
        </w:rPr>
        <w:t>performed until the measurement result is got</w:t>
      </w:r>
      <w:r>
        <w:rPr>
          <w:rFonts w:ascii="Arial" w:hAnsi="Arial" w:cs="Arial"/>
        </w:rPr>
        <w:t>.</w:t>
      </w:r>
      <w:r>
        <w:rPr>
          <w:rFonts w:hint="eastAsia" w:ascii="Arial" w:hAnsi="Arial" w:cs="Arial"/>
        </w:rPr>
        <w:t xml:space="preserve"> </w:t>
      </w:r>
      <w:r>
        <w:rPr>
          <w:rFonts w:ascii="Arial" w:hAnsi="Arial" w:cs="Arial"/>
        </w:rPr>
        <w:t>Unless the</w:t>
      </w:r>
      <w:r>
        <w:rPr>
          <w:rFonts w:hint="eastAsia" w:ascii="Arial" w:hAnsi="Arial" w:cs="Arial"/>
        </w:rPr>
        <w:t xml:space="preserve"> measurement results turn </w:t>
      </w:r>
      <w:r>
        <w:rPr>
          <w:rFonts w:ascii="Arial" w:hAnsi="Arial" w:cs="Arial"/>
        </w:rPr>
        <w:t xml:space="preserve">to </w:t>
      </w:r>
      <w:r>
        <w:rPr>
          <w:rFonts w:hint="eastAsia" w:ascii="Arial" w:hAnsi="Arial" w:cs="Arial"/>
        </w:rPr>
        <w:t xml:space="preserve">invalid, the measurement </w:t>
      </w:r>
      <w:r>
        <w:rPr>
          <w:rFonts w:ascii="Arial" w:hAnsi="Arial" w:cs="Arial"/>
        </w:rPr>
        <w:t>wouldn’t be performed</w:t>
      </w:r>
      <w:r>
        <w:rPr>
          <w:rFonts w:hint="eastAsia" w:ascii="Arial" w:hAnsi="Arial" w:cs="Arial"/>
        </w:rPr>
        <w:t xml:space="preserve"> again.</w:t>
      </w:r>
    </w:p>
    <w:p>
      <w:pPr>
        <w:spacing w:after="120"/>
        <w:ind w:left="13" w:hanging="1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Issue#</w:t>
      </w:r>
      <w:r>
        <w:rPr>
          <w:rFonts w:hint="eastAsia"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</w:rPr>
        <w:t xml:space="preserve">For </w:t>
      </w:r>
      <w:r>
        <w:rPr>
          <w:rFonts w:ascii="Arial" w:hAnsi="Arial" w:cs="Arial"/>
        </w:rPr>
        <w:t>one shot measurement in connected mode</w:t>
      </w:r>
      <w:r>
        <w:rPr>
          <w:rFonts w:hint="eastAsia" w:ascii="Arial" w:hAnsi="Arial" w:cs="Arial"/>
        </w:rPr>
        <w:t>,</w:t>
      </w:r>
      <w:r>
        <w:rPr>
          <w:rFonts w:ascii="Arial" w:hAnsi="Arial" w:cs="Arial"/>
        </w:rPr>
        <w:t xml:space="preserve"> RAN2 assume </w:t>
      </w:r>
      <w:r>
        <w:rPr>
          <w:rFonts w:hint="eastAsia" w:ascii="Arial" w:hAnsi="Arial" w:cs="Arial"/>
        </w:rPr>
        <w:t>continuous measurement</w:t>
      </w:r>
      <w:r>
        <w:rPr>
          <w:rFonts w:ascii="Arial" w:hAnsi="Arial" w:cs="Arial"/>
        </w:rPr>
        <w:t xml:space="preserve"> in a one-shot measurement may be infeasible in some cases</w:t>
      </w:r>
      <w:r>
        <w:rPr>
          <w:rFonts w:hint="eastAsia" w:ascii="Arial" w:hAnsi="Arial" w:cs="Arial"/>
        </w:rPr>
        <w:t>.</w:t>
      </w:r>
    </w:p>
    <w:p>
      <w:pPr>
        <w:spacing w:after="120"/>
        <w:ind w:left="13" w:hanging="1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Issue#</w:t>
      </w:r>
      <w:r>
        <w:rPr>
          <w:rFonts w:hint="eastAsia" w:ascii="Arial" w:hAnsi="Arial" w:cs="Arial"/>
          <w:b/>
        </w:rPr>
        <w:t>5</w:t>
      </w:r>
      <w:r>
        <w:rPr>
          <w:rFonts w:ascii="Arial" w:hAnsi="Arial" w:cs="Arial"/>
          <w:b/>
        </w:rPr>
        <w:t>: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</w:rPr>
        <w:t xml:space="preserve">For </w:t>
      </w:r>
      <w:r>
        <w:rPr>
          <w:rFonts w:ascii="Arial" w:hAnsi="Arial" w:cs="Arial"/>
        </w:rPr>
        <w:t xml:space="preserve">one shot measurement in </w:t>
      </w:r>
      <w:r>
        <w:rPr>
          <w:rFonts w:ascii="Arial" w:hAnsi="Arial" w:cs="Arial"/>
        </w:rPr>
        <w:t>connected mode</w:t>
      </w:r>
      <w:r>
        <w:rPr>
          <w:rFonts w:hint="default" w:ascii="Arial" w:hAnsi="Arial" w:cs="Arial"/>
        </w:rPr>
        <w:t xml:space="preserve">, </w:t>
      </w:r>
      <w:r>
        <w:rPr>
          <w:rFonts w:ascii="Arial" w:hAnsi="Arial" w:cs="Arial"/>
        </w:rPr>
        <w:t>RAN2 assume the</w:t>
      </w:r>
      <w:r>
        <w:rPr>
          <w:rFonts w:hint="default" w:ascii="Arial" w:hAnsi="Arial" w:cs="Arial"/>
        </w:rPr>
        <w:t xml:space="preserve"> </w:t>
      </w:r>
      <w:r>
        <w:rPr>
          <w:rFonts w:ascii="Arial" w:hAnsi="Arial" w:cs="Arial"/>
        </w:rPr>
        <w:t xml:space="preserve">minimum </w:t>
      </w:r>
      <w:r>
        <w:rPr>
          <w:rFonts w:hint="default" w:ascii="Arial" w:hAnsi="Arial" w:cs="Arial"/>
        </w:rPr>
        <w:t xml:space="preserve">length of a measurement occasion can be </w:t>
      </w:r>
      <w:r>
        <w:rPr>
          <w:rFonts w:ascii="Arial" w:hAnsi="Arial" w:cs="Arial"/>
        </w:rPr>
        <w:t>with 21ms</w:t>
      </w:r>
      <w:r>
        <w:rPr>
          <w:rFonts w:hint="eastAsia" w:ascii="Arial" w:hAnsi="Arial" w:cs="Arial"/>
          <w:lang w:val="en-US" w:eastAsia="zh-CN"/>
        </w:rPr>
        <w:t>, and</w:t>
      </w:r>
      <w:r>
        <w:rPr>
          <w:rFonts w:hint="default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b w:val="0"/>
          <w:bCs w:val="0"/>
          <w:sz w:val="20"/>
          <w:szCs w:val="20"/>
          <w:lang w:val="en-US" w:eastAsia="zh-CN"/>
        </w:rPr>
        <w:t>i</w:t>
      </w:r>
      <w:r>
        <w:rPr>
          <w:rFonts w:ascii="Arial" w:hAnsi="Arial" w:cs="Arial"/>
          <w:b w:val="0"/>
          <w:bCs w:val="0"/>
          <w:sz w:val="20"/>
          <w:szCs w:val="20"/>
        </w:rPr>
        <w:t>n some scenarios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</w:rPr>
        <w:t>6ms</w:t>
      </w:r>
      <w:r>
        <w:rPr>
          <w:rFonts w:hint="eastAsia" w:ascii="Arial" w:hAnsi="Arial" w:cs="Arial"/>
        </w:rPr>
        <w:t xml:space="preserve"> for Frame structure type 1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</w:rPr>
        <w:t>and 7ms for Frame structure type 2</w:t>
      </w:r>
      <w:r>
        <w:rPr>
          <w:rFonts w:ascii="Arial" w:hAnsi="Arial" w:cs="Arial"/>
        </w:rPr>
        <w:t>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ACTION to </w:t>
      </w:r>
      <w:r>
        <w:rPr>
          <w:rFonts w:hint="eastAsia" w:ascii="Arial" w:hAnsi="Arial" w:cs="Arial"/>
        </w:rPr>
        <w:t>RAN4:</w:t>
      </w:r>
    </w:p>
    <w:p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</w:rPr>
        <w:t>RAN2 respectfully asks RAN</w:t>
      </w:r>
      <w:r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</w:rPr>
        <w:t xml:space="preserve"> to take the above into account and start the corresponding checks: </w:t>
      </w:r>
    </w:p>
    <w:p>
      <w:pPr>
        <w:pStyle w:val="20"/>
        <w:numPr>
          <w:ilvl w:val="0"/>
          <w:numId w:val="3"/>
        </w:numPr>
        <w:adjustRightInd w:val="0"/>
        <w:snapToGrid w:val="0"/>
        <w:spacing w:before="120" w:after="120"/>
        <w:ind w:left="200" w:leftChars="100"/>
        <w:contextualSpacing w:val="0"/>
        <w:jc w:val="both"/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eastAsia="zh-CN"/>
        </w:rPr>
        <w:t>F</w:t>
      </w:r>
      <w:r>
        <w:rPr>
          <w:rFonts w:ascii="Arial" w:hAnsi="Arial" w:cs="Arial"/>
          <w:lang w:eastAsia="zh-CN"/>
        </w:rPr>
        <w:t>or issue#1, RAN4 can further deter</w:t>
      </w:r>
      <w:r>
        <w:rPr>
          <w:rFonts w:ascii="Arial" w:hAnsi="Arial" w:cs="Arial"/>
          <w:lang w:val="en-US" w:eastAsia="zh-CN"/>
        </w:rPr>
        <w:t xml:space="preserve">mine </w:t>
      </w:r>
      <w:r>
        <w:rPr>
          <w:rFonts w:hint="eastAsia"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time duration in which</w:t>
      </w:r>
      <w:r>
        <w:rPr>
          <w:rFonts w:hint="eastAsia" w:ascii="Arial" w:hAnsi="Arial" w:cs="Arial"/>
          <w:lang w:val="en-US" w:eastAsia="zh-CN"/>
        </w:rPr>
        <w:t xml:space="preserve"> the measurement results can be </w:t>
      </w:r>
      <w:r>
        <w:rPr>
          <w:rFonts w:ascii="Arial" w:hAnsi="Arial" w:cs="Arial"/>
          <w:lang w:val="en-US" w:eastAsia="zh-CN"/>
        </w:rPr>
        <w:t>thought</w:t>
      </w:r>
      <w:r>
        <w:rPr>
          <w:rFonts w:hint="eastAsia" w:ascii="Arial" w:hAnsi="Arial" w:cs="Arial"/>
          <w:lang w:val="en-US" w:eastAsia="zh-CN"/>
        </w:rPr>
        <w:t xml:space="preserve"> as valid and</w:t>
      </w:r>
      <w:r>
        <w:rPr>
          <w:rFonts w:ascii="Arial" w:hAnsi="Arial" w:cs="Arial"/>
          <w:lang w:val="en-US" w:eastAsia="zh-CN"/>
        </w:rPr>
        <w:t>/or</w:t>
      </w:r>
      <w:r>
        <w:rPr>
          <w:rFonts w:hint="eastAsia" w:ascii="Arial" w:hAnsi="Arial" w:cs="Arial"/>
          <w:lang w:val="en-US" w:eastAsia="zh-CN"/>
        </w:rPr>
        <w:t xml:space="preserve"> the </w:t>
      </w:r>
      <w:r>
        <w:rPr>
          <w:rFonts w:ascii="Arial" w:hAnsi="Arial" w:cs="Arial"/>
          <w:lang w:val="en-US" w:eastAsia="zh-CN"/>
        </w:rPr>
        <w:t>acceptable channel quality variation range.</w:t>
      </w:r>
    </w:p>
    <w:p>
      <w:pPr>
        <w:pStyle w:val="20"/>
        <w:numPr>
          <w:ilvl w:val="0"/>
          <w:numId w:val="3"/>
        </w:numPr>
        <w:adjustRightInd w:val="0"/>
        <w:snapToGrid w:val="0"/>
        <w:spacing w:before="120" w:after="120"/>
        <w:ind w:left="200" w:leftChars="100"/>
        <w:contextualSpacing w:val="0"/>
        <w:jc w:val="both"/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issue#2, RAN4 can </w:t>
      </w:r>
      <w:r>
        <w:rPr>
          <w:rFonts w:hint="eastAsia" w:ascii="Arial" w:hAnsi="Arial" w:cs="Arial"/>
          <w:lang w:eastAsia="zh-CN"/>
        </w:rPr>
        <w:t>check</w:t>
      </w:r>
      <w:r>
        <w:rPr>
          <w:rFonts w:ascii="Arial" w:hAnsi="Arial" w:cs="Arial"/>
          <w:lang w:eastAsia="zh-CN"/>
        </w:rPr>
        <w:t xml:space="preserve"> the feasibility of connected mode</w:t>
      </w:r>
      <w:r>
        <w:rPr>
          <w:rFonts w:hint="eastAsia"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intra-frequency measurements and inter-frequency measurement definitions.</w:t>
      </w:r>
    </w:p>
    <w:p>
      <w:pPr>
        <w:pStyle w:val="20"/>
        <w:numPr>
          <w:ilvl w:val="0"/>
          <w:numId w:val="3"/>
        </w:numPr>
        <w:adjustRightInd w:val="0"/>
        <w:snapToGrid w:val="0"/>
        <w:spacing w:before="120" w:after="120"/>
        <w:ind w:left="200" w:leftChars="100"/>
        <w:contextualSpacing w:val="0"/>
        <w:jc w:val="both"/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issue#3, </w:t>
      </w:r>
      <w:r>
        <w:rPr>
          <w:rFonts w:hint="eastAsia"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can</w:t>
      </w:r>
      <w:r>
        <w:rPr>
          <w:rFonts w:hint="eastAsia" w:ascii="Arial" w:hAnsi="Arial" w:cs="Arial"/>
          <w:lang w:eastAsia="zh-CN"/>
        </w:rPr>
        <w:t xml:space="preserve"> check whether</w:t>
      </w:r>
      <w:r>
        <w:rPr>
          <w:rFonts w:ascii="Arial" w:hAnsi="Arial" w:cs="Arial"/>
          <w:lang w:eastAsia="zh-CN"/>
        </w:rPr>
        <w:t xml:space="preserve"> one-shot</w:t>
      </w:r>
      <w:r>
        <w:rPr>
          <w:rFonts w:hint="eastAsia"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neighbour</w:t>
      </w:r>
      <w:r>
        <w:rPr>
          <w:rFonts w:hint="eastAsia" w:ascii="Arial" w:hAnsi="Arial" w:cs="Arial"/>
          <w:lang w:eastAsia="zh-CN"/>
        </w:rPr>
        <w:t xml:space="preserve"> cell</w:t>
      </w:r>
      <w:r>
        <w:rPr>
          <w:rFonts w:ascii="Arial" w:hAnsi="Arial" w:cs="Arial"/>
          <w:lang w:eastAsia="zh-CN"/>
        </w:rPr>
        <w:t xml:space="preserve"> measurement</w:t>
      </w:r>
      <w:r>
        <w:rPr>
          <w:rFonts w:hint="eastAsia"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is feasible/better</w:t>
      </w:r>
      <w:r>
        <w:rPr>
          <w:rFonts w:hint="eastAsia" w:ascii="Arial" w:hAnsi="Arial" w:cs="Arial"/>
          <w:lang w:eastAsia="zh-CN"/>
        </w:rPr>
        <w:t xml:space="preserve"> for NB-IoT </w:t>
      </w:r>
      <w:r>
        <w:rPr>
          <w:rFonts w:ascii="Arial" w:hAnsi="Arial" w:cs="Arial"/>
          <w:lang w:eastAsia="zh-CN"/>
        </w:rPr>
        <w:t xml:space="preserve">UE </w:t>
      </w:r>
      <w:r>
        <w:rPr>
          <w:rFonts w:hint="eastAsia" w:ascii="Arial" w:hAnsi="Arial" w:cs="Arial"/>
          <w:lang w:eastAsia="zh-CN"/>
        </w:rPr>
        <w:t xml:space="preserve">in connected </w:t>
      </w:r>
      <w:r>
        <w:rPr>
          <w:rFonts w:ascii="Arial" w:hAnsi="Arial" w:cs="Arial"/>
          <w:lang w:eastAsia="zh-CN"/>
        </w:rPr>
        <w:t>mode.</w:t>
      </w:r>
    </w:p>
    <w:p>
      <w:pPr>
        <w:pStyle w:val="20"/>
        <w:numPr>
          <w:ilvl w:val="0"/>
          <w:numId w:val="3"/>
        </w:numPr>
        <w:adjustRightInd w:val="0"/>
        <w:snapToGrid w:val="0"/>
        <w:spacing w:before="120" w:after="120"/>
        <w:ind w:left="200" w:leftChars="100"/>
        <w:contextualSpacing w:val="0"/>
        <w:jc w:val="both"/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issue#4, RAN4 can </w:t>
      </w:r>
      <w:r>
        <w:rPr>
          <w:rFonts w:hint="eastAsia" w:ascii="Arial" w:hAnsi="Arial" w:cs="Arial"/>
          <w:lang w:eastAsia="zh-CN"/>
        </w:rPr>
        <w:t>check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>whether UE</w:t>
      </w:r>
      <w:r>
        <w:rPr>
          <w:rFonts w:hint="eastAsia" w:ascii="Arial" w:hAnsi="Arial" w:cs="Arial"/>
        </w:rPr>
        <w:t xml:space="preserve"> </w:t>
      </w:r>
      <w:r>
        <w:rPr>
          <w:rFonts w:ascii="Arial" w:hAnsi="Arial" w:cs="Arial"/>
        </w:rPr>
        <w:t xml:space="preserve">can perform </w:t>
      </w:r>
      <w:r>
        <w:rPr>
          <w:rFonts w:hint="eastAsia" w:ascii="Arial" w:hAnsi="Arial" w:cs="Arial"/>
        </w:rPr>
        <w:t xml:space="preserve">measurement occasionally for the </w:t>
      </w:r>
      <w:r>
        <w:rPr>
          <w:rFonts w:ascii="Arial" w:hAnsi="Arial" w:cs="Arial"/>
        </w:rPr>
        <w:t>neighbour</w:t>
      </w:r>
      <w:r>
        <w:rPr>
          <w:rFonts w:hint="eastAsia" w:ascii="Arial" w:hAnsi="Arial" w:cs="Arial"/>
        </w:rPr>
        <w:t xml:space="preserve"> cell that </w:t>
      </w:r>
      <w:r>
        <w:rPr>
          <w:rFonts w:ascii="Arial" w:hAnsi="Arial" w:cs="Arial"/>
        </w:rPr>
        <w:t>operates on a different carrier frequency</w:t>
      </w:r>
      <w:r>
        <w:rPr>
          <w:rFonts w:hint="eastAsia" w:ascii="Arial" w:hAnsi="Arial" w:cs="Arial"/>
        </w:rPr>
        <w:t xml:space="preserve"> compared with the downlink dedicated carrier.</w:t>
      </w:r>
      <w:r>
        <w:rPr>
          <w:rFonts w:ascii="Arial" w:hAnsi="Arial" w:cs="Arial"/>
        </w:rPr>
        <w:t xml:space="preserve"> </w:t>
      </w:r>
    </w:p>
    <w:p>
      <w:pPr>
        <w:pStyle w:val="20"/>
        <w:numPr>
          <w:ilvl w:val="0"/>
          <w:numId w:val="3"/>
        </w:numPr>
        <w:adjustRightInd w:val="0"/>
        <w:snapToGrid w:val="0"/>
        <w:spacing w:before="120" w:after="120"/>
        <w:ind w:left="200" w:leftChars="100"/>
        <w:contextualSpacing w:val="0"/>
        <w:jc w:val="both"/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issue#5, RAN4 can </w:t>
      </w:r>
      <w:r>
        <w:rPr>
          <w:rFonts w:hint="eastAsia" w:ascii="Arial" w:hAnsi="Arial" w:cs="Arial"/>
          <w:lang w:eastAsia="zh-CN"/>
        </w:rPr>
        <w:t xml:space="preserve">check </w:t>
      </w:r>
      <w:r>
        <w:rPr>
          <w:rFonts w:ascii="Arial" w:hAnsi="Arial" w:cs="Arial"/>
          <w:lang w:eastAsia="zh-CN"/>
        </w:rPr>
        <w:t xml:space="preserve">whether </w:t>
      </w:r>
      <w:r>
        <w:rPr>
          <w:rFonts w:hint="eastAsia" w:ascii="Arial" w:hAnsi="Arial" w:cs="Arial"/>
          <w:lang w:eastAsia="zh-CN"/>
        </w:rPr>
        <w:t>the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eastAsia="zh-CN"/>
        </w:rPr>
        <w:t xml:space="preserve">minimum </w:t>
      </w:r>
      <w:r>
        <w:rPr>
          <w:rFonts w:hint="eastAsia" w:ascii="Arial" w:hAnsi="Arial" w:cs="Arial"/>
          <w:lang w:eastAsia="zh-CN"/>
        </w:rPr>
        <w:t xml:space="preserve">length of a measurement occasion can be </w:t>
      </w:r>
      <w:r>
        <w:rPr>
          <w:rFonts w:ascii="Arial" w:hAnsi="Arial" w:cs="Arial"/>
          <w:lang w:eastAsia="zh-CN"/>
        </w:rPr>
        <w:t>21ms</w:t>
      </w:r>
      <w:r>
        <w:rPr>
          <w:rFonts w:hint="eastAsia" w:ascii="Arial" w:hAnsi="Arial" w:cs="Arial"/>
          <w:lang w:val="en-US"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>and i</w:t>
      </w:r>
      <w:r>
        <w:rPr>
          <w:rFonts w:ascii="Arial" w:hAnsi="Arial" w:cs="Arial"/>
          <w:lang w:eastAsia="zh-CN"/>
        </w:rPr>
        <w:t xml:space="preserve">n some scenarios whether it can be </w:t>
      </w:r>
      <w:r>
        <w:rPr>
          <w:rFonts w:hint="eastAsia" w:ascii="Arial" w:hAnsi="Arial" w:cs="Arial"/>
          <w:lang w:eastAsia="zh-CN"/>
        </w:rPr>
        <w:t>6ms for Frame structure type 1</w:t>
      </w:r>
      <w:r>
        <w:rPr>
          <w:rFonts w:ascii="Arial" w:hAnsi="Arial" w:cs="Arial"/>
          <w:lang w:eastAsia="zh-CN"/>
        </w:rPr>
        <w:t xml:space="preserve"> </w:t>
      </w:r>
      <w:r>
        <w:rPr>
          <w:rFonts w:hint="eastAsia" w:ascii="Arial" w:hAnsi="Arial" w:cs="Arial"/>
          <w:lang w:eastAsia="zh-CN"/>
        </w:rPr>
        <w:t>and 7m</w:t>
      </w:r>
      <w:bookmarkStart w:id="0" w:name="_GoBack"/>
      <w:bookmarkEnd w:id="0"/>
      <w:r>
        <w:rPr>
          <w:rFonts w:hint="eastAsia" w:ascii="Arial" w:hAnsi="Arial" w:cs="Arial"/>
          <w:lang w:eastAsia="zh-CN"/>
        </w:rPr>
        <w:t xml:space="preserve">s for Frame structure type 2. </w:t>
      </w:r>
      <w:r>
        <w:rPr>
          <w:rFonts w:ascii="Arial" w:hAnsi="Arial" w:cs="Arial"/>
          <w:lang w:eastAsia="zh-CN"/>
        </w:rPr>
        <w:t xml:space="preserve">Moreover, whether </w:t>
      </w:r>
      <w:r>
        <w:rPr>
          <w:rFonts w:hint="eastAsia" w:ascii="Arial" w:hAnsi="Arial" w:cs="Arial"/>
          <w:lang w:eastAsia="zh-CN"/>
        </w:rPr>
        <w:t>interval between the available measurement occasions</w:t>
      </w:r>
      <w:r>
        <w:rPr>
          <w:rFonts w:ascii="Arial" w:hAnsi="Arial" w:cs="Arial"/>
          <w:lang w:eastAsia="zh-CN"/>
        </w:rPr>
        <w:t xml:space="preserve"> is needed.</w:t>
      </w:r>
    </w:p>
    <w:p>
      <w:pPr>
        <w:spacing w:after="120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3GPPRAN2#113bis-e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12-20 April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3GPPRAN2#11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-e 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19</w:t>
      </w:r>
      <w:r>
        <w:rPr>
          <w:rFonts w:ascii="Arial" w:hAnsi="Arial" w:cs="Arial"/>
          <w:bCs/>
        </w:rPr>
        <w:t>-2</w:t>
      </w:r>
      <w:r>
        <w:rPr>
          <w:rFonts w:hint="eastAsia" w:ascii="Arial" w:hAnsi="Arial" w:cs="Arial"/>
          <w:bCs/>
          <w:lang w:val="en-US"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5103"/>
          <w:tab w:val="left" w:pos="8222"/>
        </w:tabs>
        <w:spacing w:after="120"/>
        <w:rPr>
          <w:rFonts w:ascii="Arial" w:hAnsi="Arial" w:cs="Arial"/>
          <w:bCs/>
          <w:lang w:eastAsia="zh-CN"/>
        </w:rPr>
      </w:pPr>
    </w:p>
    <w:p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B0ED8"/>
    <w:multiLevelType w:val="multilevel"/>
    <w:tmpl w:val="20EB0ED8"/>
    <w:lvl w:ilvl="0" w:tentative="0">
      <w:start w:val="36"/>
      <w:numFmt w:val="bullet"/>
      <w:lvlText w:val="-"/>
      <w:lvlJc w:val="left"/>
      <w:pPr>
        <w:ind w:left="420" w:hanging="420"/>
      </w:pPr>
      <w:rPr>
        <w:rFonts w:hint="default" w:ascii="Arial" w:hAnsi="Arial" w:eastAsia="PMingLiU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3A854A03"/>
    <w:multiLevelType w:val="multilevel"/>
    <w:tmpl w:val="3A854A03"/>
    <w:lvl w:ilvl="0" w:tentative="0">
      <w:start w:val="6"/>
      <w:numFmt w:val="bullet"/>
      <w:lvlText w:val="-"/>
      <w:lvlJc w:val="left"/>
      <w:pPr>
        <w:ind w:left="420" w:hanging="420"/>
      </w:pPr>
      <w:rPr>
        <w:rFonts w:hint="default" w:ascii="Arial" w:hAnsi="Arial" w:eastAsia="MS Mincho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26"/>
      <w:lvlText w:val="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B5170"/>
    <w:rsid w:val="00010FF2"/>
    <w:rsid w:val="000165A4"/>
    <w:rsid w:val="000332BD"/>
    <w:rsid w:val="00065B6A"/>
    <w:rsid w:val="00093AE1"/>
    <w:rsid w:val="000B5478"/>
    <w:rsid w:val="000C6B44"/>
    <w:rsid w:val="000E6233"/>
    <w:rsid w:val="00141C07"/>
    <w:rsid w:val="00157502"/>
    <w:rsid w:val="001722EE"/>
    <w:rsid w:val="001955E8"/>
    <w:rsid w:val="001A07ED"/>
    <w:rsid w:val="001A6F6E"/>
    <w:rsid w:val="001E1B02"/>
    <w:rsid w:val="00200AE1"/>
    <w:rsid w:val="0020497B"/>
    <w:rsid w:val="002065CB"/>
    <w:rsid w:val="00281351"/>
    <w:rsid w:val="00282A0D"/>
    <w:rsid w:val="002B5954"/>
    <w:rsid w:val="002B6064"/>
    <w:rsid w:val="00306DE8"/>
    <w:rsid w:val="00307ADF"/>
    <w:rsid w:val="003216EE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14E77"/>
    <w:rsid w:val="00414F36"/>
    <w:rsid w:val="00417D43"/>
    <w:rsid w:val="00426B35"/>
    <w:rsid w:val="00434CE3"/>
    <w:rsid w:val="00440713"/>
    <w:rsid w:val="00461269"/>
    <w:rsid w:val="0047618B"/>
    <w:rsid w:val="004819AC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70D"/>
    <w:rsid w:val="00570077"/>
    <w:rsid w:val="0057321A"/>
    <w:rsid w:val="00575A75"/>
    <w:rsid w:val="00577FE9"/>
    <w:rsid w:val="005840EE"/>
    <w:rsid w:val="0059162C"/>
    <w:rsid w:val="005C59A4"/>
    <w:rsid w:val="00614F9D"/>
    <w:rsid w:val="006265FC"/>
    <w:rsid w:val="006418AC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2BA0"/>
    <w:rsid w:val="00787A33"/>
    <w:rsid w:val="0079049C"/>
    <w:rsid w:val="00795063"/>
    <w:rsid w:val="007A02A7"/>
    <w:rsid w:val="007B07AE"/>
    <w:rsid w:val="007B1517"/>
    <w:rsid w:val="007D133D"/>
    <w:rsid w:val="00811861"/>
    <w:rsid w:val="0081431A"/>
    <w:rsid w:val="00821B78"/>
    <w:rsid w:val="00846453"/>
    <w:rsid w:val="008629C1"/>
    <w:rsid w:val="008A2411"/>
    <w:rsid w:val="00905DD6"/>
    <w:rsid w:val="0091698C"/>
    <w:rsid w:val="009641DE"/>
    <w:rsid w:val="00977AF3"/>
    <w:rsid w:val="00977B87"/>
    <w:rsid w:val="009820A8"/>
    <w:rsid w:val="00990521"/>
    <w:rsid w:val="009E340D"/>
    <w:rsid w:val="009F0A6B"/>
    <w:rsid w:val="00A1654B"/>
    <w:rsid w:val="00A2224C"/>
    <w:rsid w:val="00A41FD7"/>
    <w:rsid w:val="00A5727E"/>
    <w:rsid w:val="00AE4ACC"/>
    <w:rsid w:val="00AF47C4"/>
    <w:rsid w:val="00AF56AD"/>
    <w:rsid w:val="00AF7BBC"/>
    <w:rsid w:val="00B012E5"/>
    <w:rsid w:val="00B169A3"/>
    <w:rsid w:val="00B37790"/>
    <w:rsid w:val="00B50D72"/>
    <w:rsid w:val="00B6000D"/>
    <w:rsid w:val="00B76D6D"/>
    <w:rsid w:val="00BA7EE8"/>
    <w:rsid w:val="00BB0AA1"/>
    <w:rsid w:val="00BD231E"/>
    <w:rsid w:val="00C04F02"/>
    <w:rsid w:val="00C30608"/>
    <w:rsid w:val="00C409BA"/>
    <w:rsid w:val="00C63930"/>
    <w:rsid w:val="00C9662F"/>
    <w:rsid w:val="00CE258E"/>
    <w:rsid w:val="00CE3EC5"/>
    <w:rsid w:val="00CF3BE3"/>
    <w:rsid w:val="00D014A9"/>
    <w:rsid w:val="00D02F51"/>
    <w:rsid w:val="00D12FD1"/>
    <w:rsid w:val="00D23579"/>
    <w:rsid w:val="00D34990"/>
    <w:rsid w:val="00D421A2"/>
    <w:rsid w:val="00D421A7"/>
    <w:rsid w:val="00D70FC1"/>
    <w:rsid w:val="00D91CF6"/>
    <w:rsid w:val="00D95402"/>
    <w:rsid w:val="00DB5124"/>
    <w:rsid w:val="00DD0B0E"/>
    <w:rsid w:val="00DD38B2"/>
    <w:rsid w:val="00DE69EF"/>
    <w:rsid w:val="00DF0A3D"/>
    <w:rsid w:val="00DF48A4"/>
    <w:rsid w:val="00E22D4B"/>
    <w:rsid w:val="00E44087"/>
    <w:rsid w:val="00E707B4"/>
    <w:rsid w:val="00E803B0"/>
    <w:rsid w:val="00E911A6"/>
    <w:rsid w:val="00E97E48"/>
    <w:rsid w:val="00EA3AD7"/>
    <w:rsid w:val="00ED1A2A"/>
    <w:rsid w:val="00ED2412"/>
    <w:rsid w:val="00EF12A6"/>
    <w:rsid w:val="00EF58E4"/>
    <w:rsid w:val="00F066F0"/>
    <w:rsid w:val="00F61470"/>
    <w:rsid w:val="00F7032E"/>
    <w:rsid w:val="00FD35F3"/>
    <w:rsid w:val="02A00291"/>
    <w:rsid w:val="02E73073"/>
    <w:rsid w:val="08E736DD"/>
    <w:rsid w:val="0C295E41"/>
    <w:rsid w:val="0DD2598B"/>
    <w:rsid w:val="0F005949"/>
    <w:rsid w:val="133C599D"/>
    <w:rsid w:val="17D57647"/>
    <w:rsid w:val="19C87058"/>
    <w:rsid w:val="1D3E0695"/>
    <w:rsid w:val="1F607C0F"/>
    <w:rsid w:val="205015D5"/>
    <w:rsid w:val="21C15C54"/>
    <w:rsid w:val="2849684E"/>
    <w:rsid w:val="290676F6"/>
    <w:rsid w:val="2C744F9E"/>
    <w:rsid w:val="2EB01FF3"/>
    <w:rsid w:val="342960DB"/>
    <w:rsid w:val="38DB3016"/>
    <w:rsid w:val="3D3976B2"/>
    <w:rsid w:val="418A3CBC"/>
    <w:rsid w:val="4366388B"/>
    <w:rsid w:val="43817018"/>
    <w:rsid w:val="461C58FA"/>
    <w:rsid w:val="4BB13839"/>
    <w:rsid w:val="4C6258C4"/>
    <w:rsid w:val="4E8657D4"/>
    <w:rsid w:val="4F086ED6"/>
    <w:rsid w:val="50643C9F"/>
    <w:rsid w:val="50A16D6B"/>
    <w:rsid w:val="50F86A7A"/>
    <w:rsid w:val="53680F75"/>
    <w:rsid w:val="5376518A"/>
    <w:rsid w:val="5BCE20ED"/>
    <w:rsid w:val="5C843E62"/>
    <w:rsid w:val="603872B2"/>
    <w:rsid w:val="63223556"/>
    <w:rsid w:val="64372DC6"/>
    <w:rsid w:val="658E0204"/>
    <w:rsid w:val="6B3F6094"/>
    <w:rsid w:val="7602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4"/>
    <w:basedOn w:val="1"/>
    <w:next w:val="1"/>
    <w:link w:val="17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3">
    <w:name w:val="heading 7"/>
    <w:basedOn w:val="1"/>
    <w:next w:val="1"/>
    <w:link w:val="18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5">
    <w:name w:val="annotation text"/>
    <w:basedOn w:val="1"/>
    <w:link w:val="21"/>
    <w:semiHidden/>
    <w:unhideWhenUsed/>
    <w:qFormat/>
    <w:uiPriority w:val="99"/>
  </w:style>
  <w:style w:type="paragraph" w:styleId="6">
    <w:name w:val="Body Text"/>
    <w:basedOn w:val="1"/>
    <w:link w:val="19"/>
    <w:semiHidden/>
    <w:qFormat/>
    <w:uiPriority w:val="0"/>
    <w:rPr>
      <w:rFonts w:ascii="Arial" w:hAnsi="Arial" w:cs="Arial"/>
      <w:color w:val="FF0000"/>
    </w:rPr>
  </w:style>
  <w:style w:type="paragraph" w:styleId="7">
    <w:name w:val="Balloon Text"/>
    <w:basedOn w:val="1"/>
    <w:link w:val="23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8">
    <w:name w:val="footer"/>
    <w:basedOn w:val="1"/>
    <w:link w:val="2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0">
    <w:name w:val="annotation subject"/>
    <w:basedOn w:val="5"/>
    <w:next w:val="5"/>
    <w:link w:val="22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39"/>
    <w:rPr>
      <w:rFonts w:ascii="Calibri" w:hAnsi="Calibri" w:eastAsia="Calibri"/>
      <w:lang w:val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FollowedHyperlink"/>
    <w:basedOn w:val="13"/>
    <w:semiHidden/>
    <w:unhideWhenUsed/>
    <w:qFormat/>
    <w:uiPriority w:val="99"/>
    <w:rPr>
      <w:color w:val="954F72" w:themeColor="followedHyperlink"/>
      <w:u w:val="single"/>
    </w:rPr>
  </w:style>
  <w:style w:type="character" w:styleId="15">
    <w:name w:val="Hyperlink"/>
    <w:basedOn w:val="13"/>
    <w:qFormat/>
    <w:uiPriority w:val="99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16"/>
      <w:szCs w:val="16"/>
    </w:rPr>
  </w:style>
  <w:style w:type="character" w:customStyle="1" w:styleId="17">
    <w:name w:val="标题 4 Char"/>
    <w:basedOn w:val="13"/>
    <w:link w:val="2"/>
    <w:qFormat/>
    <w:uiPriority w:val="0"/>
    <w:rPr>
      <w:rFonts w:ascii="Arial" w:hAnsi="Arial" w:eastAsia="宋体" w:cs="Times New Roman"/>
      <w:b/>
      <w:sz w:val="20"/>
      <w:szCs w:val="20"/>
    </w:rPr>
  </w:style>
  <w:style w:type="character" w:customStyle="1" w:styleId="18">
    <w:name w:val="标题 7 Char"/>
    <w:basedOn w:val="13"/>
    <w:link w:val="3"/>
    <w:qFormat/>
    <w:uiPriority w:val="0"/>
    <w:rPr>
      <w:rFonts w:ascii="Arial" w:hAnsi="Arial" w:eastAsia="宋体" w:cs="Times New Roman"/>
      <w:b/>
      <w:color w:val="0000FF"/>
      <w:sz w:val="20"/>
      <w:szCs w:val="20"/>
    </w:rPr>
  </w:style>
  <w:style w:type="character" w:customStyle="1" w:styleId="19">
    <w:name w:val="正文文本 Char"/>
    <w:basedOn w:val="13"/>
    <w:link w:val="6"/>
    <w:semiHidden/>
    <w:qFormat/>
    <w:uiPriority w:val="0"/>
    <w:rPr>
      <w:rFonts w:ascii="Arial" w:hAnsi="Arial" w:eastAsia="宋体" w:cs="Arial"/>
      <w:color w:val="FF0000"/>
      <w:sz w:val="20"/>
      <w:szCs w:val="20"/>
    </w:rPr>
  </w:style>
  <w:style w:type="paragraph" w:styleId="20">
    <w:name w:val="List Paragraph"/>
    <w:basedOn w:val="1"/>
    <w:link w:val="24"/>
    <w:qFormat/>
    <w:uiPriority w:val="34"/>
    <w:pPr>
      <w:ind w:left="720"/>
      <w:contextualSpacing/>
    </w:pPr>
  </w:style>
  <w:style w:type="character" w:customStyle="1" w:styleId="21">
    <w:name w:val="批注文字 Char"/>
    <w:basedOn w:val="13"/>
    <w:link w:val="5"/>
    <w:semiHidden/>
    <w:qFormat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22">
    <w:name w:val="批注主题 Char"/>
    <w:basedOn w:val="21"/>
    <w:link w:val="10"/>
    <w:semiHidden/>
    <w:qFormat/>
    <w:uiPriority w:val="99"/>
    <w:rPr>
      <w:rFonts w:ascii="Times New Roman" w:hAnsi="Times New Roman" w:eastAsia="宋体" w:cs="Times New Roman"/>
      <w:b/>
      <w:bCs/>
      <w:sz w:val="20"/>
      <w:szCs w:val="20"/>
    </w:rPr>
  </w:style>
  <w:style w:type="character" w:customStyle="1" w:styleId="23">
    <w:name w:val="批注框文本 Char"/>
    <w:basedOn w:val="13"/>
    <w:link w:val="7"/>
    <w:semiHidden/>
    <w:qFormat/>
    <w:uiPriority w:val="99"/>
    <w:rPr>
      <w:rFonts w:ascii="Segoe UI" w:hAnsi="Segoe UI" w:eastAsia="宋体" w:cs="Segoe UI"/>
      <w:sz w:val="18"/>
      <w:szCs w:val="18"/>
    </w:rPr>
  </w:style>
  <w:style w:type="character" w:customStyle="1" w:styleId="24">
    <w:name w:val="列出段落 Char"/>
    <w:link w:val="20"/>
    <w:qFormat/>
    <w:locked/>
    <w:uiPriority w:val="34"/>
    <w:rPr>
      <w:rFonts w:ascii="Times New Roman" w:hAnsi="Times New Roman" w:eastAsia="宋体" w:cs="Times New Roman"/>
      <w:sz w:val="20"/>
      <w:szCs w:val="20"/>
    </w:rPr>
  </w:style>
  <w:style w:type="character" w:customStyle="1" w:styleId="25">
    <w:name w:val="Unresolved Mention1"/>
    <w:basedOn w:val="1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6">
    <w:name w:val="Agreement"/>
    <w:basedOn w:val="1"/>
    <w:next w:val="1"/>
    <w:qFormat/>
    <w:uiPriority w:val="0"/>
    <w:pPr>
      <w:numPr>
        <w:ilvl w:val="0"/>
        <w:numId w:val="1"/>
      </w:numPr>
      <w:tabs>
        <w:tab w:val="left" w:pos="1619"/>
        <w:tab w:val="clear" w:pos="4680"/>
      </w:tabs>
      <w:spacing w:before="60"/>
      <w:ind w:left="1619"/>
    </w:pPr>
    <w:rPr>
      <w:rFonts w:ascii="Arial" w:hAnsi="Arial" w:eastAsia="MS Mincho"/>
      <w:b/>
      <w:szCs w:val="24"/>
      <w:lang w:eastAsia="en-GB"/>
    </w:rPr>
  </w:style>
  <w:style w:type="paragraph" w:customStyle="1" w:styleId="2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28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29">
    <w:name w:val="页脚 Char"/>
    <w:basedOn w:val="13"/>
    <w:link w:val="8"/>
    <w:qFormat/>
    <w:uiPriority w:val="99"/>
    <w:rPr>
      <w:rFonts w:eastAsia="宋体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6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3782FB-AAC8-42BE-AEB7-34C4C84F8BD8}">
  <ds:schemaRefs/>
</ds:datastoreItem>
</file>

<file path=customXml/itemProps3.xml><?xml version="1.0" encoding="utf-8"?>
<ds:datastoreItem xmlns:ds="http://schemas.openxmlformats.org/officeDocument/2006/customXml" ds:itemID="{8104C6FC-F5BF-4124-9B81-1360418D07BE}">
  <ds:schemaRefs/>
</ds:datastoreItem>
</file>

<file path=customXml/itemProps4.xml><?xml version="1.0" encoding="utf-8"?>
<ds:datastoreItem xmlns:ds="http://schemas.openxmlformats.org/officeDocument/2006/customXml" ds:itemID="{605ED52E-F607-41D9-9C38-E4833E7BE813}">
  <ds:schemaRefs/>
</ds:datastoreItem>
</file>

<file path=customXml/itemProps5.xml><?xml version="1.0" encoding="utf-8"?>
<ds:datastoreItem xmlns:ds="http://schemas.openxmlformats.org/officeDocument/2006/customXml" ds:itemID="{71470CD3-94FE-4A4A-9588-AD0126068264}">
  <ds:schemaRefs/>
</ds:datastoreItem>
</file>

<file path=customXml/itemProps6.xml><?xml version="1.0" encoding="utf-8"?>
<ds:datastoreItem xmlns:ds="http://schemas.openxmlformats.org/officeDocument/2006/customXml" ds:itemID="{41F0224C-F7ED-4ECE-B7A9-98874BC1F4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2887</Characters>
  <Lines>24</Lines>
  <Paragraphs>6</Paragraphs>
  <TotalTime>2</TotalTime>
  <ScaleCrop>false</ScaleCrop>
  <LinksUpToDate>false</LinksUpToDate>
  <CharactersWithSpaces>3387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2019-04-14T07:17:00Z</dcterms:created>
  <dc:creator>Ericsson</dc:creator>
  <cp:lastModifiedBy>ZTE</cp:lastModifiedBy>
  <dcterms:modified xsi:type="dcterms:W3CDTF">2021-01-15T06:40:41Z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2052-11.8.2.9022</vt:lpwstr>
  </property>
</Properties>
</file>